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31" w:type="dxa"/>
        <w:tblInd w:w="0" w:type="dxa"/>
        <w:tblLayout w:type="fixed"/>
        <w:tblCellMar>
          <w:top w:w="0" w:type="dxa"/>
          <w:left w:w="0" w:type="dxa"/>
          <w:bottom w:w="0" w:type="dxa"/>
          <w:right w:w="0" w:type="dxa"/>
        </w:tblCellMar>
      </w:tblPr>
      <w:tblGrid>
        <w:gridCol w:w="1161"/>
        <w:gridCol w:w="4183"/>
        <w:gridCol w:w="5087"/>
      </w:tblGrid>
      <w:tr w14:paraId="3F901FEC">
        <w:tblPrEx>
          <w:tblCellMar>
            <w:top w:w="0" w:type="dxa"/>
            <w:left w:w="0" w:type="dxa"/>
            <w:bottom w:w="0" w:type="dxa"/>
            <w:right w:w="0" w:type="dxa"/>
          </w:tblCellMar>
        </w:tblPrEx>
        <w:trPr>
          <w:trHeight w:val="516" w:hRule="exact"/>
        </w:trPr>
        <w:tc>
          <w:tcPr>
            <w:tcW w:w="1161" w:type="dxa"/>
            <w:vAlign w:val="center"/>
          </w:tcPr>
          <w:p w14:paraId="2BCA93C4">
            <w:pPr>
              <w:spacing w:line="286" w:lineRule="atLeast"/>
              <w:jc w:val="center"/>
              <w:rPr>
                <w:rFonts w:hint="eastAsia" w:ascii="宋体" w:hAnsi="宋体" w:eastAsia="宋体" w:cs="宋体"/>
                <w:b/>
                <w:color w:val="000000"/>
                <w:spacing w:val="-2"/>
                <w:sz w:val="17"/>
              </w:rPr>
            </w:pPr>
          </w:p>
        </w:tc>
        <w:tc>
          <w:tcPr>
            <w:tcW w:w="4183" w:type="dxa"/>
            <w:vAlign w:val="center"/>
          </w:tcPr>
          <w:p w14:paraId="41AC5A29">
            <w:pPr>
              <w:spacing w:line="286" w:lineRule="atLeast"/>
              <w:ind w:right="-23901"/>
              <w:rPr>
                <w:rFonts w:hint="eastAsia" w:ascii="宋体" w:hAnsi="宋体" w:eastAsia="宋体" w:cs="宋体"/>
                <w:b/>
                <w:color w:val="000000"/>
                <w:spacing w:val="-2"/>
                <w:sz w:val="17"/>
              </w:rPr>
            </w:pPr>
          </w:p>
        </w:tc>
        <w:tc>
          <w:tcPr>
            <w:tcW w:w="5087" w:type="dxa"/>
            <w:vAlign w:val="center"/>
          </w:tcPr>
          <w:p w14:paraId="6FCBC60C">
            <w:pPr>
              <w:spacing w:line="286" w:lineRule="atLeast"/>
              <w:ind w:right="-18807"/>
              <w:rPr>
                <w:rFonts w:hint="eastAsia" w:ascii="宋体" w:hAnsi="宋体" w:eastAsia="宋体" w:cs="宋体"/>
                <w:b/>
                <w:color w:val="000000"/>
                <w:spacing w:val="-2"/>
                <w:sz w:val="17"/>
              </w:rPr>
            </w:pPr>
          </w:p>
        </w:tc>
      </w:tr>
      <w:tr w14:paraId="10350188">
        <w:tblPrEx>
          <w:tblCellMar>
            <w:top w:w="0" w:type="dxa"/>
            <w:left w:w="0" w:type="dxa"/>
            <w:bottom w:w="0" w:type="dxa"/>
            <w:right w:w="0" w:type="dxa"/>
          </w:tblCellMar>
        </w:tblPrEx>
        <w:trPr>
          <w:trHeight w:val="516" w:hRule="exact"/>
        </w:trPr>
        <w:tc>
          <w:tcPr>
            <w:tcW w:w="10431" w:type="dxa"/>
            <w:gridSpan w:val="3"/>
            <w:vAlign w:val="center"/>
          </w:tcPr>
          <w:p w14:paraId="0E3F51E2">
            <w:pPr>
              <w:spacing w:line="229" w:lineRule="atLeast"/>
              <w:jc w:val="center"/>
              <w:rPr>
                <w:rFonts w:hint="eastAsia" w:ascii="宋体" w:hAnsi="宋体" w:eastAsia="宋体" w:cs="宋体"/>
                <w:b/>
                <w:color w:val="000000"/>
                <w:spacing w:val="-2"/>
                <w:sz w:val="40"/>
              </w:rPr>
            </w:pPr>
            <w:r>
              <w:rPr>
                <w:rFonts w:hint="eastAsia" w:ascii="宋体" w:hAnsi="宋体" w:eastAsia="宋体" w:cs="宋体"/>
                <w:b/>
                <w:color w:val="000000"/>
                <w:spacing w:val="-2"/>
                <w:sz w:val="40"/>
              </w:rPr>
              <w:t>表D.1.1   最高投标限价编制(审核)说明</w:t>
            </w:r>
          </w:p>
        </w:tc>
      </w:tr>
      <w:tr w14:paraId="2FC88464">
        <w:tblPrEx>
          <w:tblCellMar>
            <w:top w:w="0" w:type="dxa"/>
            <w:left w:w="0" w:type="dxa"/>
            <w:bottom w:w="0" w:type="dxa"/>
            <w:right w:w="0" w:type="dxa"/>
          </w:tblCellMar>
        </w:tblPrEx>
        <w:trPr>
          <w:trHeight w:val="329" w:hRule="exact"/>
        </w:trPr>
        <w:tc>
          <w:tcPr>
            <w:tcW w:w="5344" w:type="dxa"/>
            <w:gridSpan w:val="2"/>
            <w:tcBorders>
              <w:bottom w:val="single" w:color="000000" w:sz="10" w:space="0"/>
            </w:tcBorders>
            <w:tcMar>
              <w:top w:w="17" w:type="dxa"/>
            </w:tcMar>
            <w:vAlign w:val="center"/>
          </w:tcPr>
          <w:p w14:paraId="704531D8">
            <w:pPr>
              <w:spacing w:line="286" w:lineRule="atLeast"/>
              <w:rPr>
                <w:rFonts w:hint="eastAsia" w:ascii="宋体" w:hAnsi="宋体" w:eastAsia="宋体" w:cs="宋体"/>
                <w:color w:val="000000"/>
                <w:spacing w:val="-2"/>
                <w:sz w:val="18"/>
              </w:rPr>
            </w:pPr>
            <w:r>
              <w:rPr>
                <w:rFonts w:hint="eastAsia" w:ascii="宋体" w:hAnsi="宋体" w:eastAsia="宋体" w:cs="宋体"/>
                <w:color w:val="000000"/>
                <w:spacing w:val="-2"/>
                <w:sz w:val="18"/>
              </w:rPr>
              <w:t>工程名称：玉祁街道唐平大道隐患整改提升项目</w:t>
            </w:r>
          </w:p>
        </w:tc>
        <w:tc>
          <w:tcPr>
            <w:tcW w:w="5087" w:type="dxa"/>
            <w:tcBorders>
              <w:bottom w:val="single" w:color="000000" w:sz="10" w:space="0"/>
            </w:tcBorders>
            <w:tcMar>
              <w:bottom w:w="17" w:type="dxa"/>
            </w:tcMar>
            <w:vAlign w:val="bottom"/>
          </w:tcPr>
          <w:p w14:paraId="63652823">
            <w:pPr>
              <w:spacing w:line="286" w:lineRule="atLeast"/>
              <w:jc w:val="right"/>
              <w:rPr>
                <w:rFonts w:hint="eastAsia" w:ascii="宋体" w:hAnsi="宋体" w:eastAsia="宋体" w:cs="宋体"/>
                <w:b/>
                <w:color w:val="000000"/>
                <w:spacing w:val="-2"/>
                <w:sz w:val="18"/>
              </w:rPr>
            </w:pPr>
          </w:p>
        </w:tc>
      </w:tr>
      <w:tr w14:paraId="167CEABF">
        <w:tblPrEx>
          <w:tblCellMar>
            <w:top w:w="0" w:type="dxa"/>
            <w:left w:w="0" w:type="dxa"/>
            <w:bottom w:w="0" w:type="dxa"/>
            <w:right w:w="0" w:type="dxa"/>
          </w:tblCellMar>
        </w:tblPrEx>
        <w:trPr>
          <w:trHeight w:val="2866" w:hRule="exact"/>
        </w:trPr>
        <w:tc>
          <w:tcPr>
            <w:tcW w:w="10431" w:type="dxa"/>
            <w:gridSpan w:val="3"/>
            <w:vMerge w:val="restart"/>
            <w:tcBorders>
              <w:top w:val="single" w:color="000000" w:sz="10" w:space="0"/>
              <w:left w:val="single" w:color="000000" w:sz="10" w:space="0"/>
              <w:right w:val="single" w:color="000000" w:sz="10" w:space="0"/>
            </w:tcBorders>
          </w:tcPr>
          <w:p w14:paraId="7CBE1EAF">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玉祁街道唐平大道隐患整改提升项目</w:t>
            </w:r>
          </w:p>
          <w:p w14:paraId="00E712A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最高投标限价编制说明</w:t>
            </w:r>
          </w:p>
          <w:p w14:paraId="20C73C0E">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一、工程概况</w:t>
            </w:r>
          </w:p>
          <w:p w14:paraId="2D9D7F25">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本项目为玉祁街道唐平大道隐患整改提升项目,工程主要工作内容包括新建车行道、人行道；新建标志牌、标线、护栏等交通设施；电子警察系统；供电传输系统；绿化恢复等。</w:t>
            </w:r>
          </w:p>
          <w:p w14:paraId="3D4D6117">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二、工程招标范围</w:t>
            </w:r>
          </w:p>
          <w:p w14:paraId="4FE8C295">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本工程招标范围为玉祁街道唐平大道隐患整改提升项目。</w:t>
            </w:r>
          </w:p>
          <w:p w14:paraId="19DC7EF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三、最高限价编制依据</w:t>
            </w:r>
          </w:p>
          <w:p w14:paraId="0BF6CDAD">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1、本工程招标文件(包括招标工程量清单、合同条款、招标图纸、技术标准规范等)及其补遗、澄清或修改。</w:t>
            </w:r>
          </w:p>
          <w:p w14:paraId="10F51EED">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2、与招标工程相关的技术标准规范。</w:t>
            </w:r>
          </w:p>
          <w:p w14:paraId="3AA7BC7C">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3、工程特点及交付标准、地勘水文资料、现场情况。</w:t>
            </w:r>
          </w:p>
          <w:p w14:paraId="32273A5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4、合理施工工期及常规施工工艺、顺序。</w:t>
            </w:r>
          </w:p>
          <w:p w14:paraId="3431F711">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5、工程价格信息及造价资讯、工程造价数据指数。</w:t>
            </w:r>
          </w:p>
          <w:p w14:paraId="743243F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6、建设单位提供的本工程相关建设要求及施工图设计图纸。</w:t>
            </w:r>
          </w:p>
          <w:p w14:paraId="5384312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7、国家及省级、行业建设主管部门颁发的工程量与计价相关规定，以及根据工程需要补充的工程量计算规则：中华人民共和国住房和城乡建设部颁发的建设工程工程量清单计价标准（GBT50500-2024）、《房屋建筑与装饰工程工程量计算规范》(GB/T 50854-2024)、《市政工程工程量计算标准》(GB/T 50857-2024)、《通用安装工程工程量计算标准》（GB/T 50856-2024）、《园林绿化工程工程量计算标准》（GB/T 50858-2024）。</w:t>
            </w:r>
          </w:p>
          <w:p w14:paraId="573CCE5F">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8、苏建公告（2025）第12号《省住房和城乡建设厅关于实施《建设工程工程量清单计价标准》（GB/T50500-2024）及9本工程量计算标准有关事宜的公告》。</w:t>
            </w:r>
          </w:p>
          <w:p w14:paraId="1EA37DB9">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9、苏建价〔2026〕76号省住房城乡建设厅关于发布《江苏省建筑与装饰工程消耗量》《江苏省市政工程消耗量》《江苏省通用安装工程消耗量》及配套文件的通知。</w:t>
            </w:r>
          </w:p>
          <w:p w14:paraId="50BE3137">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10、国家相关法律、法规。</w:t>
            </w:r>
          </w:p>
          <w:p w14:paraId="0A3B7BF5">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12、无锡市建设局有关文件。</w:t>
            </w:r>
          </w:p>
          <w:p w14:paraId="4131CA0A">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13、其他相关资料。</w:t>
            </w:r>
          </w:p>
          <w:p w14:paraId="1A6D248A">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四、最高投标限价编制说明</w:t>
            </w:r>
          </w:p>
          <w:p w14:paraId="332B71AF">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rPr>
              <w:t>1、采用</w:t>
            </w:r>
            <w:bookmarkStart w:id="0" w:name="_GoBack"/>
            <w:r>
              <w:rPr>
                <w:rFonts w:hint="eastAsia" w:ascii="宋体" w:hAnsi="宋体" w:eastAsia="宋体" w:cs="宋体"/>
                <w:color w:val="000000"/>
                <w:spacing w:val="-2"/>
                <w:sz w:val="21"/>
                <w:highlight w:val="none"/>
              </w:rPr>
              <w:t>一般计税方法，税率按苏建函价[2019]178号。</w:t>
            </w:r>
          </w:p>
          <w:p w14:paraId="38E34E8D">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2、人工工资单价按江苏省住房和城乡建设厅发布的苏建价〔2026〕76号省住房城乡建设厅关于发布《江苏省建筑与装饰工程消耗量》《江苏省市政工程消耗量》《江苏省通用安装工程消耗量》及配套文件的通知计算。</w:t>
            </w:r>
          </w:p>
          <w:p w14:paraId="40613496">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3、主要材料价格《无锡工程造价信息》2026年第6期信息价，无信息指导价的材料按照市场询价。</w:t>
            </w:r>
          </w:p>
          <w:p w14:paraId="2459F41A">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4、机械费按2026年江苏省住房和城乡建设厅发布的《江苏省建设工程施工机具台班费用编制参考表》同时调整人工费、油料差价及税金。</w:t>
            </w:r>
          </w:p>
          <w:p w14:paraId="0917F489">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5、暂列金额、专业工程暂估价</w:t>
            </w:r>
          </w:p>
          <w:p w14:paraId="7D6E8C3E">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本工程设</w:t>
            </w:r>
            <w:r>
              <w:rPr>
                <w:rFonts w:hint="eastAsia" w:ascii="宋体" w:hAnsi="宋体" w:eastAsia="宋体" w:cs="宋体"/>
                <w:color w:val="000000"/>
                <w:spacing w:val="-2"/>
                <w:sz w:val="21"/>
                <w:highlight w:val="none"/>
                <w:lang w:val="en-US" w:eastAsia="zh-CN"/>
              </w:rPr>
              <w:t>16</w:t>
            </w:r>
            <w:r>
              <w:rPr>
                <w:rFonts w:hint="eastAsia" w:ascii="宋体" w:hAnsi="宋体" w:eastAsia="宋体" w:cs="宋体"/>
                <w:color w:val="000000"/>
                <w:spacing w:val="-2"/>
                <w:sz w:val="21"/>
                <w:highlight w:val="none"/>
              </w:rPr>
              <w:t>0000元暂列金额，本工程无专业工程暂估价。</w:t>
            </w:r>
          </w:p>
          <w:p w14:paraId="1ED4B699">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6、其他</w:t>
            </w:r>
          </w:p>
          <w:p w14:paraId="3A263324">
            <w:pPr>
              <w:spacing w:line="229" w:lineRule="atLeast"/>
              <w:rPr>
                <w:rFonts w:hint="eastAsia" w:ascii="宋体" w:hAnsi="宋体" w:eastAsia="宋体" w:cs="宋体"/>
                <w:color w:val="000000"/>
                <w:spacing w:val="-2"/>
                <w:sz w:val="21"/>
                <w:highlight w:val="none"/>
              </w:rPr>
            </w:pPr>
            <w:r>
              <w:rPr>
                <w:rFonts w:hint="eastAsia" w:ascii="宋体" w:hAnsi="宋体" w:eastAsia="宋体" w:cs="宋体"/>
                <w:color w:val="000000"/>
                <w:spacing w:val="-2"/>
                <w:sz w:val="21"/>
                <w:highlight w:val="none"/>
              </w:rPr>
              <w:t>安全生产费：计算基础为（分部分项合计-除税工程设备费）；市政通用工程的费率为1.9%；路灯及交通设施的费率为</w:t>
            </w:r>
          </w:p>
          <w:bookmarkEnd w:id="0"/>
          <w:p w14:paraId="42FE337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1.9%；绿化工程的费率为0.9%；安装工程的费率为2.9%</w:t>
            </w:r>
          </w:p>
          <w:p w14:paraId="7FC9590F">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增值税：计算基础为（分部分项工程+措施项目+其他项目-专业工程暂估价-除税甲供材料和甲供设备费）；市政通用</w:t>
            </w:r>
          </w:p>
          <w:p w14:paraId="0F0E9198">
            <w:pPr>
              <w:spacing w:line="229" w:lineRule="atLeast"/>
              <w:rPr>
                <w:rFonts w:hint="eastAsia" w:ascii="宋体" w:hAnsi="宋体" w:eastAsia="宋体" w:cs="宋体"/>
                <w:color w:val="000000"/>
                <w:spacing w:val="-2"/>
                <w:sz w:val="21"/>
              </w:rPr>
            </w:pPr>
            <w:r>
              <w:rPr>
                <w:rFonts w:hint="eastAsia" w:ascii="宋体" w:hAnsi="宋体" w:eastAsia="宋体" w:cs="宋体"/>
                <w:color w:val="000000"/>
                <w:spacing w:val="-2"/>
                <w:sz w:val="21"/>
              </w:rPr>
              <w:t>工程的费率为9%；路灯及交通设施的费率为9%；绿化工程的费率为9%；安装工程的费率为9%</w:t>
            </w:r>
          </w:p>
        </w:tc>
      </w:tr>
      <w:tr w14:paraId="4546C2DD">
        <w:tblPrEx>
          <w:tblCellMar>
            <w:top w:w="0" w:type="dxa"/>
            <w:left w:w="0" w:type="dxa"/>
            <w:bottom w:w="0" w:type="dxa"/>
            <w:right w:w="0" w:type="dxa"/>
          </w:tblCellMar>
        </w:tblPrEx>
        <w:trPr>
          <w:trHeight w:val="2865" w:hRule="exact"/>
        </w:trPr>
        <w:tc>
          <w:tcPr>
            <w:tcW w:w="10431" w:type="dxa"/>
            <w:gridSpan w:val="3"/>
            <w:vMerge w:val="continue"/>
            <w:tcBorders>
              <w:top w:val="single" w:color="000000" w:sz="10" w:space="0"/>
              <w:left w:val="single" w:color="000000" w:sz="10" w:space="0"/>
              <w:right w:val="single" w:color="000000" w:sz="10" w:space="0"/>
            </w:tcBorders>
          </w:tcPr>
          <w:p w14:paraId="2F035D36">
            <w:pPr>
              <w:spacing w:line="240" w:lineRule="atLeast"/>
              <w:rPr>
                <w:rFonts w:hint="eastAsia" w:ascii="宋体" w:hAnsi="宋体" w:eastAsia="宋体" w:cs="宋体"/>
              </w:rPr>
            </w:pPr>
          </w:p>
        </w:tc>
      </w:tr>
      <w:tr w14:paraId="0702B618">
        <w:tblPrEx>
          <w:tblCellMar>
            <w:top w:w="0" w:type="dxa"/>
            <w:left w:w="0" w:type="dxa"/>
            <w:bottom w:w="0" w:type="dxa"/>
            <w:right w:w="0" w:type="dxa"/>
          </w:tblCellMar>
        </w:tblPrEx>
        <w:trPr>
          <w:trHeight w:val="2350" w:hRule="exact"/>
        </w:trPr>
        <w:tc>
          <w:tcPr>
            <w:tcW w:w="10431" w:type="dxa"/>
            <w:gridSpan w:val="3"/>
            <w:vMerge w:val="continue"/>
            <w:tcBorders>
              <w:top w:val="single" w:color="000000" w:sz="10" w:space="0"/>
              <w:left w:val="single" w:color="000000" w:sz="10" w:space="0"/>
              <w:right w:val="single" w:color="000000" w:sz="10" w:space="0"/>
            </w:tcBorders>
          </w:tcPr>
          <w:p w14:paraId="577D9BBD">
            <w:pPr>
              <w:spacing w:line="240" w:lineRule="atLeast"/>
              <w:rPr>
                <w:rFonts w:hint="eastAsia" w:ascii="宋体" w:hAnsi="宋体" w:eastAsia="宋体" w:cs="宋体"/>
              </w:rPr>
            </w:pPr>
          </w:p>
        </w:tc>
      </w:tr>
      <w:tr w14:paraId="303CD632">
        <w:tblPrEx>
          <w:tblCellMar>
            <w:top w:w="0" w:type="dxa"/>
            <w:left w:w="0" w:type="dxa"/>
            <w:bottom w:w="0" w:type="dxa"/>
            <w:right w:w="0" w:type="dxa"/>
          </w:tblCellMar>
        </w:tblPrEx>
        <w:trPr>
          <w:trHeight w:val="3245" w:hRule="exact"/>
        </w:trPr>
        <w:tc>
          <w:tcPr>
            <w:tcW w:w="10431" w:type="dxa"/>
            <w:gridSpan w:val="3"/>
            <w:vMerge w:val="continue"/>
            <w:tcBorders>
              <w:top w:val="single" w:color="000000" w:sz="10" w:space="0"/>
              <w:left w:val="single" w:color="000000" w:sz="10" w:space="0"/>
              <w:right w:val="single" w:color="000000" w:sz="10" w:space="0"/>
            </w:tcBorders>
          </w:tcPr>
          <w:p w14:paraId="7DD13F4C">
            <w:pPr>
              <w:spacing w:line="240" w:lineRule="atLeast"/>
              <w:rPr>
                <w:rFonts w:hint="eastAsia" w:ascii="宋体" w:hAnsi="宋体" w:eastAsia="宋体" w:cs="宋体"/>
              </w:rPr>
            </w:pPr>
          </w:p>
        </w:tc>
      </w:tr>
      <w:tr w14:paraId="2BAC0650">
        <w:tblPrEx>
          <w:tblCellMar>
            <w:top w:w="0" w:type="dxa"/>
            <w:left w:w="0" w:type="dxa"/>
            <w:bottom w:w="0" w:type="dxa"/>
            <w:right w:w="0" w:type="dxa"/>
          </w:tblCellMar>
        </w:tblPrEx>
        <w:trPr>
          <w:trHeight w:val="553" w:hRule="exact"/>
        </w:trPr>
        <w:tc>
          <w:tcPr>
            <w:tcW w:w="10431" w:type="dxa"/>
            <w:gridSpan w:val="3"/>
            <w:tcBorders>
              <w:top w:val="single" w:color="000000" w:sz="10" w:space="0"/>
            </w:tcBorders>
          </w:tcPr>
          <w:p w14:paraId="5476894C">
            <w:pPr>
              <w:spacing w:line="240" w:lineRule="atLeast"/>
              <w:rPr>
                <w:rFonts w:hint="eastAsia" w:ascii="宋体" w:hAnsi="宋体" w:eastAsia="宋体" w:cs="宋体"/>
              </w:rPr>
            </w:pPr>
          </w:p>
        </w:tc>
      </w:tr>
      <w:tr w14:paraId="0FD936CE">
        <w:tblPrEx>
          <w:tblCellMar>
            <w:top w:w="0" w:type="dxa"/>
            <w:left w:w="0" w:type="dxa"/>
            <w:bottom w:w="0" w:type="dxa"/>
            <w:right w:w="0" w:type="dxa"/>
          </w:tblCellMar>
        </w:tblPrEx>
        <w:trPr>
          <w:trHeight w:val="28" w:hRule="exact"/>
        </w:trPr>
        <w:tc>
          <w:tcPr>
            <w:tcW w:w="10431" w:type="dxa"/>
            <w:gridSpan w:val="3"/>
          </w:tcPr>
          <w:p w14:paraId="77B6D640">
            <w:pPr>
              <w:spacing w:line="240" w:lineRule="atLeast"/>
              <w:rPr>
                <w:rFonts w:hint="eastAsia" w:ascii="宋体" w:hAnsi="宋体" w:eastAsia="宋体" w:cs="宋体"/>
              </w:rPr>
            </w:pPr>
          </w:p>
        </w:tc>
      </w:tr>
      <w:tr w14:paraId="26471FC8">
        <w:tblPrEx>
          <w:tblCellMar>
            <w:top w:w="0" w:type="dxa"/>
            <w:left w:w="0" w:type="dxa"/>
            <w:bottom w:w="0" w:type="dxa"/>
            <w:right w:w="0" w:type="dxa"/>
          </w:tblCellMar>
        </w:tblPrEx>
        <w:trPr>
          <w:trHeight w:val="516" w:hRule="exact"/>
        </w:trPr>
        <w:tc>
          <w:tcPr>
            <w:tcW w:w="10431" w:type="dxa"/>
            <w:gridSpan w:val="3"/>
            <w:vAlign w:val="center"/>
          </w:tcPr>
          <w:p w14:paraId="4021FBC2">
            <w:pPr>
              <w:spacing w:line="229" w:lineRule="atLeast"/>
              <w:ind w:right="-18807"/>
              <w:rPr>
                <w:rFonts w:hint="eastAsia" w:ascii="宋体" w:hAnsi="宋体" w:eastAsia="宋体" w:cs="宋体"/>
                <w:color w:val="000000"/>
                <w:spacing w:val="-2"/>
                <w:sz w:val="17"/>
              </w:rPr>
            </w:pPr>
            <w:r>
              <w:rPr>
                <w:rFonts w:hint="eastAsia" w:ascii="宋体" w:hAnsi="宋体" w:eastAsia="宋体" w:cs="宋体"/>
                <w:color w:val="000000"/>
                <w:spacing w:val="-2"/>
                <w:sz w:val="17"/>
              </w:rPr>
              <w:t>注：最高投标限价编制(审核)说明应包括工程概况、工程范围、编制(审核)依据、特殊要求(如有)及其他需要说明的问题等内容。</w:t>
            </w:r>
          </w:p>
        </w:tc>
      </w:tr>
    </w:tbl>
    <w:p w14:paraId="3C53EF0C">
      <w:pPr>
        <w:spacing w:line="240" w:lineRule="atLeast"/>
      </w:pPr>
    </w:p>
    <w:sectPr>
      <w:pgSz w:w="11906" w:h="16848"/>
      <w:pgMar w:top="567" w:right="567" w:bottom="630" w:left="850" w:header="226" w:footer="252"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0717DB"/>
    <w:rsid w:val="10DD6289"/>
    <w:rsid w:val="29E72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EastAsia" w:cstheme="minorBidi"/>
      <w:sz w:val="2"/>
      <w:szCs w:val="22"/>
      <w:lang w:val="en-US" w:eastAsia="en-US"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Company>
  <Pages>1</Pages>
  <Words>1176</Words>
  <Characters>1307</Characters>
  <Lines>1</Lines>
  <Paragraphs>1</Paragraphs>
  <TotalTime>13</TotalTime>
  <ScaleCrop>false</ScaleCrop>
  <LinksUpToDate>false</LinksUpToDate>
  <CharactersWithSpaces>1314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2026-07-22T07:53:00Z</dcterms:created>
  <dc:creator>LENOVO</dc:creator>
  <cp:lastModifiedBy>bee</cp:lastModifiedBy>
  <dcterms:modified xsi:type="dcterms:W3CDTF">2026-07-23T02:16:50Z</dcterms:modified>
  <dc:subject>Report</dc:subject>
  <dc:title>Report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eyJoZGlkIjoiYTliMTNmNTVmNDlmMzAwMmJlZWYwZGZkZGEzNGJlNWQiLCJ1c2VySWQiOiI2MjIwODA1NzYifQ==</vt:lpwstr>
  </property>
  <property fmtid="{D5CDD505-2E9C-101B-9397-08002B2CF9AE}" pid="3" name="KSOProductBuildVer">
    <vt:lpwstr>2052-12.1.0.26895</vt:lpwstr>
  </property>
  <property fmtid="{D5CDD505-2E9C-101B-9397-08002B2CF9AE}" pid="4" name="ICV">
    <vt:lpwstr>4D9D931A4A9649FB9DD96E9236F9BFED_13</vt:lpwstr>
  </property>
</Properties>
</file>